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285C44" w:rsidP="00285C44">
      <w:pPr>
        <w:spacing w:line="480" w:lineRule="auto"/>
        <w:rPr>
          <w:rFonts w:ascii="Times New Roman" w:hAnsi="Times New Roman" w:cs="Times New Roman"/>
          <w:sz w:val="24"/>
          <w:szCs w:val="24"/>
        </w:rPr>
      </w:pPr>
    </w:p>
    <w:p w:rsidR="00285C44" w:rsidP="00285C44">
      <w:pPr>
        <w:spacing w:line="480" w:lineRule="auto"/>
        <w:rPr>
          <w:rFonts w:ascii="Times New Roman" w:hAnsi="Times New Roman" w:cs="Times New Roman"/>
          <w:sz w:val="24"/>
          <w:szCs w:val="24"/>
        </w:rPr>
      </w:pPr>
    </w:p>
    <w:p w:rsidR="00285C44" w:rsidP="00285C44">
      <w:pPr>
        <w:spacing w:line="480" w:lineRule="auto"/>
        <w:rPr>
          <w:rFonts w:ascii="Times New Roman" w:hAnsi="Times New Roman" w:cs="Times New Roman"/>
          <w:sz w:val="24"/>
          <w:szCs w:val="24"/>
        </w:rPr>
      </w:pPr>
    </w:p>
    <w:p w:rsidR="00285C44" w:rsidP="00285C44">
      <w:pPr>
        <w:spacing w:line="480" w:lineRule="auto"/>
        <w:rPr>
          <w:rFonts w:ascii="Times New Roman" w:hAnsi="Times New Roman" w:cs="Times New Roman"/>
          <w:sz w:val="24"/>
          <w:szCs w:val="24"/>
        </w:rPr>
      </w:pPr>
    </w:p>
    <w:p w:rsidR="00285C44" w:rsidP="00285C44">
      <w:pPr>
        <w:spacing w:line="480" w:lineRule="auto"/>
        <w:rPr>
          <w:rFonts w:ascii="Times New Roman" w:hAnsi="Times New Roman" w:cs="Times New Roman"/>
          <w:sz w:val="24"/>
          <w:szCs w:val="24"/>
        </w:rPr>
      </w:pPr>
    </w:p>
    <w:p w:rsidR="00285C44" w:rsidP="00285C44">
      <w:pPr>
        <w:spacing w:line="480" w:lineRule="auto"/>
        <w:rPr>
          <w:rFonts w:ascii="Times New Roman" w:hAnsi="Times New Roman" w:cs="Times New Roman"/>
          <w:sz w:val="24"/>
          <w:szCs w:val="24"/>
        </w:rPr>
      </w:pPr>
    </w:p>
    <w:p w:rsidR="00285C44" w:rsidP="00285C44">
      <w:pPr>
        <w:spacing w:line="480" w:lineRule="auto"/>
        <w:rPr>
          <w:rFonts w:ascii="Times New Roman" w:hAnsi="Times New Roman" w:cs="Times New Roman"/>
          <w:sz w:val="24"/>
          <w:szCs w:val="24"/>
        </w:rPr>
      </w:pPr>
    </w:p>
    <w:p w:rsidR="00285C44" w:rsidP="00285C44">
      <w:pPr>
        <w:spacing w:line="480" w:lineRule="auto"/>
        <w:rPr>
          <w:rFonts w:ascii="Times New Roman" w:hAnsi="Times New Roman" w:cs="Times New Roman"/>
          <w:sz w:val="24"/>
          <w:szCs w:val="24"/>
        </w:rPr>
      </w:pPr>
    </w:p>
    <w:p w:rsidR="00285C44" w:rsidP="00285C44">
      <w:pPr>
        <w:spacing w:line="480" w:lineRule="auto"/>
        <w:rPr>
          <w:rFonts w:ascii="Times New Roman" w:hAnsi="Times New Roman" w:cs="Times New Roman"/>
          <w:sz w:val="24"/>
          <w:szCs w:val="24"/>
        </w:rPr>
      </w:pPr>
    </w:p>
    <w:p w:rsidR="00285C44" w:rsidP="00285C44">
      <w:pPr>
        <w:spacing w:line="480" w:lineRule="auto"/>
        <w:jc w:val="center"/>
        <w:rPr>
          <w:rFonts w:ascii="Times New Roman" w:hAnsi="Times New Roman" w:cs="Times New Roman"/>
          <w:sz w:val="24"/>
          <w:szCs w:val="24"/>
        </w:rPr>
      </w:pPr>
      <w:r w:rsidRPr="00285C44">
        <w:rPr>
          <w:rFonts w:ascii="Times New Roman" w:hAnsi="Times New Roman" w:cs="Times New Roman"/>
          <w:sz w:val="24"/>
          <w:szCs w:val="24"/>
        </w:rPr>
        <w:t>Principal-Agent relationship</w:t>
      </w:r>
    </w:p>
    <w:p w:rsidR="00285C44" w:rsidP="00285C4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85C44" w:rsidP="00285C4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85C44" w:rsidP="00285C4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85C44" w:rsidP="00285C44">
      <w:pPr>
        <w:spacing w:line="480" w:lineRule="auto"/>
        <w:rPr>
          <w:rFonts w:ascii="Times New Roman" w:hAnsi="Times New Roman" w:cs="Times New Roman"/>
          <w:sz w:val="24"/>
          <w:szCs w:val="24"/>
        </w:rPr>
      </w:pPr>
    </w:p>
    <w:p w:rsidR="00285C44" w:rsidP="00285C44">
      <w:pPr>
        <w:spacing w:line="480" w:lineRule="auto"/>
        <w:rPr>
          <w:rFonts w:ascii="Times New Roman" w:hAnsi="Times New Roman" w:cs="Times New Roman"/>
          <w:sz w:val="24"/>
          <w:szCs w:val="24"/>
        </w:rPr>
      </w:pPr>
    </w:p>
    <w:p w:rsidR="00285C44" w:rsidP="00285C44">
      <w:pPr>
        <w:spacing w:line="480" w:lineRule="auto"/>
        <w:rPr>
          <w:rFonts w:ascii="Times New Roman" w:hAnsi="Times New Roman" w:cs="Times New Roman"/>
          <w:sz w:val="24"/>
          <w:szCs w:val="24"/>
        </w:rPr>
      </w:pPr>
    </w:p>
    <w:p w:rsidR="00285C44" w:rsidP="00285C44">
      <w:pPr>
        <w:spacing w:line="480" w:lineRule="auto"/>
        <w:rPr>
          <w:rFonts w:ascii="Times New Roman" w:hAnsi="Times New Roman" w:cs="Times New Roman"/>
          <w:sz w:val="24"/>
          <w:szCs w:val="24"/>
        </w:rPr>
      </w:pPr>
    </w:p>
    <w:p w:rsidR="00285C44" w:rsidP="00285C44">
      <w:pPr>
        <w:spacing w:line="480" w:lineRule="auto"/>
        <w:rPr>
          <w:rFonts w:ascii="Times New Roman" w:hAnsi="Times New Roman" w:cs="Times New Roman"/>
          <w:sz w:val="24"/>
          <w:szCs w:val="24"/>
        </w:rPr>
      </w:pPr>
    </w:p>
    <w:p w:rsidR="00216948" w:rsidRPr="000D2DEC" w:rsidP="00285C44">
      <w:pPr>
        <w:spacing w:line="480" w:lineRule="auto"/>
        <w:jc w:val="center"/>
        <w:rPr>
          <w:rFonts w:ascii="Times New Roman" w:hAnsi="Times New Roman" w:cs="Times New Roman"/>
          <w:b/>
          <w:sz w:val="24"/>
          <w:szCs w:val="24"/>
        </w:rPr>
      </w:pPr>
      <w:r w:rsidRPr="000D2DEC">
        <w:rPr>
          <w:rFonts w:ascii="Times New Roman" w:hAnsi="Times New Roman" w:cs="Times New Roman"/>
          <w:b/>
          <w:sz w:val="24"/>
          <w:szCs w:val="24"/>
        </w:rPr>
        <w:t>Principal-Agent relationship</w:t>
      </w:r>
    </w:p>
    <w:p w:rsidR="004723BB" w:rsidRPr="00285C44" w:rsidP="00285C44">
      <w:pPr>
        <w:spacing w:line="480" w:lineRule="auto"/>
        <w:rPr>
          <w:rFonts w:ascii="Times New Roman" w:hAnsi="Times New Roman" w:cs="Times New Roman"/>
          <w:sz w:val="24"/>
          <w:szCs w:val="24"/>
        </w:rPr>
      </w:pPr>
      <w:r w:rsidRPr="00285C44">
        <w:rPr>
          <w:rFonts w:ascii="Times New Roman" w:hAnsi="Times New Roman" w:cs="Times New Roman"/>
          <w:sz w:val="24"/>
          <w:szCs w:val="24"/>
        </w:rPr>
        <w:t xml:space="preserve">Article: </w:t>
      </w:r>
      <w:r w:rsidRPr="00285C44">
        <w:rPr>
          <w:rFonts w:ascii="Times New Roman" w:hAnsi="Times New Roman" w:cs="Times New Roman"/>
          <w:b/>
          <w:sz w:val="24"/>
          <w:szCs w:val="24"/>
        </w:rPr>
        <w:t>Wells Fargo and the Principal-Agent Problem (published September 16, 2016)</w:t>
      </w:r>
    </w:p>
    <w:p w:rsidR="004723BB" w:rsidRPr="00285C44" w:rsidP="00285C44">
      <w:pPr>
        <w:spacing w:line="480" w:lineRule="auto"/>
        <w:rPr>
          <w:rFonts w:ascii="Times New Roman" w:hAnsi="Times New Roman" w:cs="Times New Roman"/>
          <w:sz w:val="24"/>
          <w:szCs w:val="24"/>
        </w:rPr>
      </w:pPr>
      <w:hyperlink r:id="rId4" w:history="1">
        <w:r w:rsidRPr="00285C44">
          <w:rPr>
            <w:rStyle w:val="Hyperlink"/>
            <w:rFonts w:ascii="Times New Roman" w:hAnsi="Times New Roman" w:cs="Times New Roman"/>
            <w:sz w:val="24"/>
            <w:szCs w:val="24"/>
          </w:rPr>
          <w:t>https://cei.org/blog/wells-fargo-and-principal-agent-problem</w:t>
        </w:r>
      </w:hyperlink>
    </w:p>
    <w:p w:rsidR="004723BB" w:rsidRPr="00285C44" w:rsidP="00285C44">
      <w:pPr>
        <w:spacing w:line="480" w:lineRule="auto"/>
        <w:ind w:firstLine="720"/>
        <w:rPr>
          <w:rFonts w:ascii="Times New Roman" w:hAnsi="Times New Roman" w:cs="Times New Roman"/>
          <w:sz w:val="24"/>
          <w:szCs w:val="24"/>
        </w:rPr>
      </w:pPr>
      <w:r w:rsidRPr="00285C44">
        <w:rPr>
          <w:rFonts w:ascii="Times New Roman" w:hAnsi="Times New Roman" w:cs="Times New Roman"/>
          <w:sz w:val="24"/>
          <w:szCs w:val="24"/>
        </w:rPr>
        <w:t>The article presents a prime example of a princip</w:t>
      </w:r>
      <w:r w:rsidR="003814B1">
        <w:rPr>
          <w:rFonts w:ascii="Times New Roman" w:hAnsi="Times New Roman" w:cs="Times New Roman"/>
          <w:sz w:val="24"/>
          <w:szCs w:val="24"/>
        </w:rPr>
        <w:t>al-agent relationship</w:t>
      </w:r>
      <w:r w:rsidRPr="00285C44">
        <w:rPr>
          <w:rFonts w:ascii="Times New Roman" w:hAnsi="Times New Roman" w:cs="Times New Roman"/>
          <w:sz w:val="24"/>
          <w:szCs w:val="24"/>
        </w:rPr>
        <w:t xml:space="preserve">. The article authored by Lain Murray gives a case study of principal-agent between Wells Fargo and its </w:t>
      </w:r>
      <w:bookmarkStart w:id="0" w:name="_GoBack"/>
      <w:bookmarkEnd w:id="0"/>
      <w:r w:rsidRPr="00285C44">
        <w:rPr>
          <w:rFonts w:ascii="Times New Roman" w:hAnsi="Times New Roman" w:cs="Times New Roman"/>
          <w:sz w:val="24"/>
          <w:szCs w:val="24"/>
        </w:rPr>
        <w:t xml:space="preserve">employees. According to the article, $100 million fine was imposed on San Francisco bank Wells Fargo for its </w:t>
      </w:r>
      <w:r w:rsidRPr="00285C44" w:rsidR="00385400">
        <w:rPr>
          <w:rFonts w:ascii="Times New Roman" w:hAnsi="Times New Roman" w:cs="Times New Roman"/>
          <w:sz w:val="24"/>
          <w:szCs w:val="24"/>
        </w:rPr>
        <w:t>employees’</w:t>
      </w:r>
      <w:r w:rsidRPr="00285C44">
        <w:rPr>
          <w:rFonts w:ascii="Times New Roman" w:hAnsi="Times New Roman" w:cs="Times New Roman"/>
          <w:sz w:val="24"/>
          <w:szCs w:val="24"/>
        </w:rPr>
        <w:t xml:space="preserve"> improper handling of customer accounts, including opening unwanted accounts and unauthorized transfers of funds between accounts. The Consu</w:t>
      </w:r>
      <w:r w:rsidRPr="00285C44" w:rsidR="00D66AE5">
        <w:rPr>
          <w:rFonts w:ascii="Times New Roman" w:hAnsi="Times New Roman" w:cs="Times New Roman"/>
          <w:sz w:val="24"/>
          <w:szCs w:val="24"/>
        </w:rPr>
        <w:t>mer Financial Protection Bureau imposed the fine. About 85,000 accounts may have incurred $2 million worth of unfair fees as a result of the mishandling. With restitution to customers and fines to other regulators, the bank had to pay $185 million total for its misdeeds. One thing that was missing is an appreciation of the biggest victim in this fiasco – the bank itself. What happened was not a deliberate attempt to sandbag customers by the bank's owners, but a conspiracy to game the bank's compensation program, which rewarded big sellers of its products, by the bank's employees.
</w:t>
      </w:r>
    </w:p>
    <w:p w:rsidR="00D66AE5" w:rsidRPr="00285C44" w:rsidP="00285C44">
      <w:pPr>
        <w:spacing w:line="480" w:lineRule="auto"/>
        <w:ind w:firstLine="720"/>
        <w:rPr>
          <w:rFonts w:ascii="Times New Roman" w:hAnsi="Times New Roman" w:cs="Times New Roman"/>
          <w:sz w:val="24"/>
          <w:szCs w:val="24"/>
        </w:rPr>
      </w:pPr>
      <w:r w:rsidRPr="00285C44">
        <w:rPr>
          <w:rFonts w:ascii="Times New Roman" w:hAnsi="Times New Roman" w:cs="Times New Roman"/>
          <w:sz w:val="24"/>
          <w:szCs w:val="24"/>
        </w:rPr>
        <w:t>This phenomenon is called the principal-agent problem. In this case, the agent is the employee while the principal is the bank's owners and investors (like Warren Buffet).</w:t>
      </w:r>
      <w:r w:rsidRPr="00285C44" w:rsidR="0057788F">
        <w:rPr>
          <w:rFonts w:ascii="Times New Roman" w:hAnsi="Times New Roman" w:cs="Times New Roman"/>
          <w:sz w:val="24"/>
          <w:szCs w:val="24"/>
        </w:rPr>
        <w:t xml:space="preserve"> The two were in a principal-agent agency relationship.</w:t>
      </w:r>
      <w:r w:rsidRPr="00285C44">
        <w:rPr>
          <w:rFonts w:ascii="Times New Roman" w:hAnsi="Times New Roman" w:cs="Times New Roman"/>
          <w:sz w:val="24"/>
          <w:szCs w:val="24"/>
        </w:rPr>
        <w:t xml:space="preserve"> </w:t>
      </w:r>
      <w:r w:rsidRPr="00285C44" w:rsidR="0057788F">
        <w:rPr>
          <w:rFonts w:ascii="Times New Roman" w:hAnsi="Times New Roman" w:cs="Times New Roman"/>
          <w:sz w:val="24"/>
          <w:szCs w:val="24"/>
        </w:rPr>
        <w:t>Warren Buffet lost close to $1.4 billion from the scandal.</w:t>
      </w:r>
      <w:r w:rsidRPr="00285C44">
        <w:rPr>
          <w:rFonts w:ascii="Times New Roman" w:hAnsi="Times New Roman" w:cs="Times New Roman"/>
          <w:sz w:val="24"/>
          <w:szCs w:val="24"/>
        </w:rPr>
        <w:t xml:space="preserve"> </w:t>
      </w:r>
      <w:r w:rsidRPr="00285C44" w:rsidR="0057788F">
        <w:rPr>
          <w:rFonts w:ascii="Times New Roman" w:hAnsi="Times New Roman" w:cs="Times New Roman"/>
          <w:sz w:val="24"/>
          <w:szCs w:val="24"/>
        </w:rPr>
        <w:t>A principal-agent problem usually occurs when the agents act opportunistically in self-interest against the interests of the principal</w:t>
      </w:r>
      <w:r w:rsidRPr="00A7178F" w:rsidR="00A7178F">
        <w:t xml:space="preserve"> </w:t>
      </w:r>
      <w:r w:rsidR="00A7178F">
        <w:t>(</w:t>
      </w:r>
      <w:r w:rsidR="00A7178F">
        <w:rPr>
          <w:rFonts w:ascii="Times New Roman" w:hAnsi="Times New Roman" w:cs="Times New Roman"/>
          <w:sz w:val="24"/>
          <w:szCs w:val="24"/>
        </w:rPr>
        <w:t xml:space="preserve">Maskin &amp; Tirole, </w:t>
      </w:r>
      <w:r w:rsidRPr="00A7178F" w:rsidR="00A7178F">
        <w:rPr>
          <w:rFonts w:ascii="Times New Roman" w:hAnsi="Times New Roman" w:cs="Times New Roman"/>
          <w:sz w:val="24"/>
          <w:szCs w:val="24"/>
        </w:rPr>
        <w:t>1992</w:t>
      </w:r>
      <w:r w:rsidR="00F37B5C">
        <w:rPr>
          <w:rFonts w:ascii="Times New Roman" w:hAnsi="Times New Roman" w:cs="Times New Roman"/>
          <w:sz w:val="24"/>
          <w:szCs w:val="24"/>
        </w:rPr>
        <w:t>)</w:t>
      </w:r>
      <w:r w:rsidR="00A7178F">
        <w:rPr>
          <w:rFonts w:ascii="Times New Roman" w:hAnsi="Times New Roman" w:cs="Times New Roman"/>
          <w:sz w:val="24"/>
          <w:szCs w:val="24"/>
        </w:rPr>
        <w:t xml:space="preserve">. </w:t>
      </w:r>
      <w:r w:rsidRPr="00285C44" w:rsidR="008F54D1">
        <w:rPr>
          <w:rFonts w:ascii="Times New Roman" w:hAnsi="Times New Roman" w:cs="Times New Roman"/>
          <w:sz w:val="24"/>
          <w:szCs w:val="24"/>
        </w:rPr>
        <w:t xml:space="preserve">So why does the bank have to pay the fine? The fine came out from the pockets of its owners, its customers (through increased fees) and employees who did not engage in these harmful practices (through reduced </w:t>
      </w:r>
      <w:r w:rsidRPr="00285C44" w:rsidR="008F54D1">
        <w:rPr>
          <w:rFonts w:ascii="Times New Roman" w:hAnsi="Times New Roman" w:cs="Times New Roman"/>
          <w:sz w:val="24"/>
          <w:szCs w:val="24"/>
        </w:rPr>
        <w:t>pay raises). All these are victims of the bank’s opportunistic employees. The reason is</w:t>
      </w:r>
      <w:r w:rsidRPr="00285C44" w:rsidR="00E378FD">
        <w:rPr>
          <w:rFonts w:ascii="Times New Roman" w:hAnsi="Times New Roman" w:cs="Times New Roman"/>
          <w:sz w:val="24"/>
          <w:szCs w:val="24"/>
        </w:rPr>
        <w:t xml:space="preserve"> that the entire edifice of t</w:t>
      </w:r>
      <w:r w:rsidRPr="00285C44" w:rsidR="008F54D1">
        <w:rPr>
          <w:rFonts w:ascii="Times New Roman" w:hAnsi="Times New Roman" w:cs="Times New Roman"/>
          <w:sz w:val="24"/>
          <w:szCs w:val="24"/>
        </w:rPr>
        <w:t>he employment relationship stipulates that an employee is a servant doing his/he</w:t>
      </w:r>
      <w:r w:rsidRPr="00285C44" w:rsidR="00E378FD">
        <w:rPr>
          <w:rFonts w:ascii="Times New Roman" w:hAnsi="Times New Roman" w:cs="Times New Roman"/>
          <w:sz w:val="24"/>
          <w:szCs w:val="24"/>
        </w:rPr>
        <w:t>r</w:t>
      </w:r>
      <w:r w:rsidRPr="00285C44" w:rsidR="008F54D1">
        <w:rPr>
          <w:rFonts w:ascii="Times New Roman" w:hAnsi="Times New Roman" w:cs="Times New Roman"/>
          <w:sz w:val="24"/>
          <w:szCs w:val="24"/>
        </w:rPr>
        <w:t xml:space="preserve"> master’s bidding. T</w:t>
      </w:r>
      <w:r w:rsidRPr="00285C44" w:rsidR="00E378FD">
        <w:rPr>
          <w:rFonts w:ascii="Times New Roman" w:hAnsi="Times New Roman" w:cs="Times New Roman"/>
          <w:sz w:val="24"/>
          <w:szCs w:val="24"/>
        </w:rPr>
        <w:t>his</w:t>
      </w:r>
      <w:r w:rsidRPr="00285C44" w:rsidR="008F54D1">
        <w:rPr>
          <w:rFonts w:ascii="Times New Roman" w:hAnsi="Times New Roman" w:cs="Times New Roman"/>
          <w:sz w:val="24"/>
          <w:szCs w:val="24"/>
        </w:rPr>
        <w:t xml:space="preserve"> is the reason why the firm was liable for the actions of its employees.</w:t>
      </w:r>
    </w:p>
    <w:p w:rsidR="000515F9" w:rsidRPr="00285C44" w:rsidP="00285C44">
      <w:pPr>
        <w:spacing w:line="480" w:lineRule="auto"/>
        <w:ind w:firstLine="720"/>
        <w:rPr>
          <w:rFonts w:ascii="Times New Roman" w:hAnsi="Times New Roman" w:cs="Times New Roman"/>
          <w:sz w:val="24"/>
          <w:szCs w:val="24"/>
        </w:rPr>
      </w:pPr>
      <w:r w:rsidRPr="00285C44">
        <w:rPr>
          <w:rFonts w:ascii="Times New Roman" w:hAnsi="Times New Roman" w:cs="Times New Roman"/>
          <w:sz w:val="24"/>
          <w:szCs w:val="24"/>
        </w:rPr>
        <w:t>This is because the bank is presumed to have been negligent in its supervision of its employees and so to some extent, the bank was indeed guilty of harm, and the fine should serve as an incentive to Wells Fargo and to other banks to police cross-selling more diligently in future.
</w:t>
      </w:r>
    </w:p>
    <w:p w:rsidR="00EB4BD2" w:rsidP="00285C44">
      <w:pPr>
        <w:spacing w:line="480" w:lineRule="auto"/>
        <w:ind w:firstLine="720"/>
        <w:rPr>
          <w:rFonts w:ascii="Times New Roman" w:hAnsi="Times New Roman" w:cs="Times New Roman"/>
          <w:sz w:val="24"/>
          <w:szCs w:val="24"/>
        </w:rPr>
      </w:pPr>
      <w:r w:rsidRPr="00285C44">
        <w:rPr>
          <w:rFonts w:ascii="Times New Roman" w:hAnsi="Times New Roman" w:cs="Times New Roman"/>
          <w:sz w:val="24"/>
          <w:szCs w:val="24"/>
        </w:rPr>
        <w:t>This article presents one of the types of agency relationships discussed in chapter 15. The section has explored three types of agency relationships: principal-agent, employer-employee, and employer–independent contractor. This article is an example of a principal-agent relationship. This is a relationship in which the principal (usually an employer) hires an agent (employee) and gives the agent either expressed (express) or actual authority to act on the principal's behalf</w:t>
      </w:r>
      <w:r w:rsidRPr="00285C44" w:rsidR="00285C44">
        <w:rPr>
          <w:rFonts w:ascii="Times New Roman" w:hAnsi="Times New Roman" w:cs="Times New Roman"/>
          <w:sz w:val="24"/>
          <w:szCs w:val="24"/>
        </w:rPr>
        <w:t xml:space="preserve"> </w:t>
      </w:r>
      <w:r w:rsidR="00A7178F">
        <w:rPr>
          <w:rFonts w:ascii="Times New Roman" w:hAnsi="Times New Roman" w:cs="Times New Roman"/>
          <w:sz w:val="24"/>
          <w:szCs w:val="24"/>
        </w:rPr>
        <w:t xml:space="preserve">(Sappington, </w:t>
      </w:r>
      <w:r w:rsidRPr="00A7178F" w:rsidR="00A7178F">
        <w:rPr>
          <w:rFonts w:ascii="Times New Roman" w:hAnsi="Times New Roman" w:cs="Times New Roman"/>
          <w:sz w:val="24"/>
          <w:szCs w:val="24"/>
        </w:rPr>
        <w:t xml:space="preserve">1991). </w:t>
      </w:r>
      <w:r w:rsidRPr="00285C44" w:rsidR="00285C44">
        <w:rPr>
          <w:rFonts w:ascii="Times New Roman" w:hAnsi="Times New Roman" w:cs="Times New Roman"/>
          <w:sz w:val="24"/>
          <w:szCs w:val="24"/>
        </w:rPr>
        <w:t>Here, the Principal provides the agent with expressed or real authority to act on the former's behalf. In the above example, the bank, which in this case is the principal was fined for improper handling of customer accounts, although it was the fault of the employees (agent). The bank was punished because it is assumed that the employees are servants who do according to the will of their master (the principal). In other words, the agent acts on behalf of the principal. Therefore, the bank was fined, although it was the mistake of its employees because it was assumed that the employees work in the best inter</w:t>
      </w:r>
      <w:r w:rsidR="00A7178F">
        <w:rPr>
          <w:rFonts w:ascii="Times New Roman" w:hAnsi="Times New Roman" w:cs="Times New Roman"/>
          <w:sz w:val="24"/>
          <w:szCs w:val="24"/>
        </w:rPr>
        <w:t xml:space="preserve">est of the employer (Pavlou, Liang &amp; Xue, </w:t>
      </w:r>
      <w:r w:rsidRPr="00A7178F" w:rsidR="00A7178F">
        <w:rPr>
          <w:rFonts w:ascii="Times New Roman" w:hAnsi="Times New Roman" w:cs="Times New Roman"/>
          <w:sz w:val="24"/>
          <w:szCs w:val="24"/>
        </w:rPr>
        <w:t>2007).</w:t>
      </w:r>
    </w:p>
    <w:p w:rsidR="00EB4BD2" w:rsidP="00285C44">
      <w:pPr>
        <w:spacing w:line="480" w:lineRule="auto"/>
        <w:ind w:firstLine="720"/>
        <w:rPr>
          <w:rFonts w:ascii="Times New Roman" w:hAnsi="Times New Roman" w:cs="Times New Roman"/>
          <w:sz w:val="24"/>
          <w:szCs w:val="24"/>
        </w:rPr>
      </w:pPr>
    </w:p>
    <w:p w:rsidR="00F37B5C" w:rsidP="00F37B5C">
      <w:pPr>
        <w:spacing w:line="480" w:lineRule="auto"/>
        <w:rPr>
          <w:rFonts w:ascii="Times New Roman" w:hAnsi="Times New Roman" w:cs="Times New Roman"/>
          <w:sz w:val="24"/>
          <w:szCs w:val="24"/>
        </w:rPr>
      </w:pPr>
    </w:p>
    <w:p w:rsidR="00EB4BD2" w:rsidRPr="00A7178F" w:rsidP="00F37B5C">
      <w:pPr>
        <w:spacing w:line="480" w:lineRule="auto"/>
        <w:jc w:val="center"/>
        <w:rPr>
          <w:rFonts w:ascii="Times New Roman" w:hAnsi="Times New Roman" w:cs="Times New Roman"/>
          <w:b/>
          <w:sz w:val="24"/>
          <w:szCs w:val="24"/>
        </w:rPr>
      </w:pPr>
      <w:r w:rsidRPr="00A7178F">
        <w:rPr>
          <w:rFonts w:ascii="Times New Roman" w:hAnsi="Times New Roman" w:cs="Times New Roman"/>
          <w:b/>
          <w:sz w:val="24"/>
          <w:szCs w:val="24"/>
        </w:rPr>
        <w:t>References</w:t>
      </w:r>
    </w:p>
    <w:p w:rsidR="00A7178F" w:rsidP="00F37B5C">
      <w:pPr>
        <w:spacing w:line="480" w:lineRule="auto"/>
        <w:ind w:left="720" w:hanging="720"/>
        <w:rPr>
          <w:rFonts w:ascii="Times New Roman" w:hAnsi="Times New Roman" w:cs="Times New Roman"/>
          <w:sz w:val="24"/>
          <w:szCs w:val="24"/>
        </w:rPr>
      </w:pPr>
      <w:r w:rsidRPr="00EB4BD2">
        <w:rPr>
          <w:rFonts w:ascii="Times New Roman" w:hAnsi="Times New Roman" w:cs="Times New Roman"/>
          <w:sz w:val="24"/>
          <w:szCs w:val="24"/>
        </w:rPr>
        <w:t>Maskin, E., &amp; Tirole, J. (1992). The principal-agent relationship with an informed principal, II: Common values. Econometrica: Journal of the Econometric Society, 1-42.</w:t>
      </w:r>
    </w:p>
    <w:p w:rsidR="00A7178F" w:rsidRPr="00285C44" w:rsidP="00F37B5C">
      <w:pPr>
        <w:spacing w:line="480" w:lineRule="auto"/>
        <w:ind w:left="720" w:hanging="720"/>
        <w:rPr>
          <w:rFonts w:ascii="Times New Roman" w:hAnsi="Times New Roman" w:cs="Times New Roman"/>
          <w:sz w:val="24"/>
          <w:szCs w:val="24"/>
        </w:rPr>
      </w:pPr>
      <w:r w:rsidRPr="00EB4BD2">
        <w:rPr>
          <w:rFonts w:ascii="Times New Roman" w:hAnsi="Times New Roman" w:cs="Times New Roman"/>
          <w:sz w:val="24"/>
          <w:szCs w:val="24"/>
        </w:rPr>
        <w:t>Pavlou, P. A., Liang, H., &amp; Xue, Y. (2007). Understanding and mitigating uncertainty in online exchange relationships: A principal-agent perspective. MIS quarterly, 105-136.</w:t>
      </w:r>
    </w:p>
    <w:p w:rsidR="00A7178F" w:rsidP="00F37B5C">
      <w:pPr>
        <w:spacing w:line="480" w:lineRule="auto"/>
        <w:ind w:left="720" w:hanging="720"/>
        <w:rPr>
          <w:rFonts w:ascii="Times New Roman" w:hAnsi="Times New Roman" w:cs="Times New Roman"/>
          <w:sz w:val="24"/>
          <w:szCs w:val="24"/>
        </w:rPr>
      </w:pPr>
      <w:r w:rsidRPr="00EB4BD2">
        <w:rPr>
          <w:rFonts w:ascii="Times New Roman" w:hAnsi="Times New Roman" w:cs="Times New Roman"/>
          <w:sz w:val="24"/>
          <w:szCs w:val="24"/>
        </w:rPr>
        <w:t>Sappington, D. E. (1991). Incentives in principal-agent relationships. Journal of economic Perspectives, 5(2), 45-66.</w:t>
      </w:r>
    </w:p>
    <w:sectPr w:rsidSect="000D2DEC">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684712616"/>
      <w:docPartObj>
        <w:docPartGallery w:val="Page Numbers (Top of Page)"/>
        <w:docPartUnique/>
      </w:docPartObj>
    </w:sdtPr>
    <w:sdtEndPr>
      <w:rPr>
        <w:noProof/>
      </w:rPr>
    </w:sdtEndPr>
    <w:sdtContent>
      <w:p w:rsidR="000D2DEC" w:rsidRPr="000D2DEC">
        <w:pPr>
          <w:pStyle w:val="Header"/>
          <w:jc w:val="right"/>
          <w:rPr>
            <w:rFonts w:ascii="Times New Roman" w:hAnsi="Times New Roman" w:cs="Times New Roman"/>
            <w:sz w:val="24"/>
            <w:szCs w:val="24"/>
          </w:rPr>
        </w:pPr>
        <w:r w:rsidRPr="000D2DEC">
          <w:rPr>
            <w:rFonts w:ascii="Times New Roman" w:hAnsi="Times New Roman" w:cs="Times New Roman"/>
            <w:sz w:val="24"/>
            <w:szCs w:val="24"/>
          </w:rPr>
          <w:t>PRINCIPAL-AGENT RELATIONSHIP</w:t>
        </w:r>
        <w:r>
          <w:rPr>
            <w:rFonts w:ascii="Times New Roman" w:hAnsi="Times New Roman" w:cs="Times New Roman"/>
            <w:sz w:val="24"/>
            <w:szCs w:val="24"/>
          </w:rPr>
          <w:t xml:space="preserve">                                                                                        </w:t>
        </w:r>
        <w:r w:rsidRPr="000D2DEC">
          <w:rPr>
            <w:rFonts w:ascii="Times New Roman" w:hAnsi="Times New Roman" w:cs="Times New Roman"/>
            <w:sz w:val="24"/>
            <w:szCs w:val="24"/>
          </w:rPr>
          <w:fldChar w:fldCharType="begin"/>
        </w:r>
        <w:r w:rsidRPr="000D2DEC">
          <w:rPr>
            <w:rFonts w:ascii="Times New Roman" w:hAnsi="Times New Roman" w:cs="Times New Roman"/>
            <w:sz w:val="24"/>
            <w:szCs w:val="24"/>
          </w:rPr>
          <w:instrText xml:space="preserve"> PAGE   \* MERGEFORMAT </w:instrText>
        </w:r>
        <w:r w:rsidRPr="000D2DEC">
          <w:rPr>
            <w:rFonts w:ascii="Times New Roman" w:hAnsi="Times New Roman" w:cs="Times New Roman"/>
            <w:sz w:val="24"/>
            <w:szCs w:val="24"/>
          </w:rPr>
          <w:fldChar w:fldCharType="separate"/>
        </w:r>
        <w:r>
          <w:rPr>
            <w:rFonts w:ascii="Times New Roman" w:hAnsi="Times New Roman" w:cs="Times New Roman"/>
            <w:noProof/>
            <w:sz w:val="24"/>
            <w:szCs w:val="24"/>
          </w:rPr>
          <w:t>4</w:t>
        </w:r>
        <w:r w:rsidRPr="000D2DEC">
          <w:rPr>
            <w:rFonts w:ascii="Times New Roman" w:hAnsi="Times New Roman" w:cs="Times New Roman"/>
            <w:noProof/>
            <w:sz w:val="24"/>
            <w:szCs w:val="24"/>
          </w:rPr>
          <w:fldChar w:fldCharType="end"/>
        </w:r>
      </w:p>
    </w:sdtContent>
  </w:sdt>
  <w:p w:rsidR="000D2DEC" w:rsidRPr="000D2DEC">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DEC" w:rsidRPr="000D2DEC">
    <w:pPr>
      <w:pStyle w:val="Header"/>
      <w:rPr>
        <w:rFonts w:ascii="Times New Roman" w:hAnsi="Times New Roman" w:cs="Times New Roman"/>
        <w:sz w:val="24"/>
        <w:szCs w:val="24"/>
      </w:rPr>
    </w:pPr>
    <w:r w:rsidRPr="000D2DEC">
      <w:rPr>
        <w:rFonts w:ascii="Times New Roman" w:hAnsi="Times New Roman" w:cs="Times New Roman"/>
        <w:sz w:val="24"/>
        <w:szCs w:val="24"/>
      </w:rPr>
      <w:t>Running head: PRINCIPAL-AGENT RELATIONSHIP</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3BB"/>
    <w:rsid w:val="000515F9"/>
    <w:rsid w:val="000D2DEC"/>
    <w:rsid w:val="00216948"/>
    <w:rsid w:val="00285C44"/>
    <w:rsid w:val="003814B1"/>
    <w:rsid w:val="00385400"/>
    <w:rsid w:val="004723BB"/>
    <w:rsid w:val="0057788F"/>
    <w:rsid w:val="008F54D1"/>
    <w:rsid w:val="00A7178F"/>
    <w:rsid w:val="00AD1C09"/>
    <w:rsid w:val="00D66AE5"/>
    <w:rsid w:val="00E378FD"/>
    <w:rsid w:val="00EB4BD2"/>
    <w:rsid w:val="00F37B5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E894CC5-FF9A-46E8-A072-28D85EEA3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723BB"/>
    <w:rPr>
      <w:color w:val="0000FF"/>
      <w:u w:val="single"/>
    </w:rPr>
  </w:style>
  <w:style w:type="paragraph" w:styleId="Header">
    <w:name w:val="header"/>
    <w:basedOn w:val="Normal"/>
    <w:link w:val="HeaderChar"/>
    <w:uiPriority w:val="99"/>
    <w:unhideWhenUsed/>
    <w:rsid w:val="000D2D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2DEC"/>
  </w:style>
  <w:style w:type="paragraph" w:styleId="Footer">
    <w:name w:val="footer"/>
    <w:basedOn w:val="Normal"/>
    <w:link w:val="FooterChar"/>
    <w:uiPriority w:val="99"/>
    <w:unhideWhenUsed/>
    <w:rsid w:val="000D2D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2D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cei.org/blog/wells-fargo-and-principal-agent-problem"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371</TotalTime>
  <Pages>4</Pages>
  <Words>632</Words>
  <Characters>3608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6</cp:revision>
  <dcterms:created xsi:type="dcterms:W3CDTF">2019-08-12T07:42:00Z</dcterms:created>
  <dcterms:modified xsi:type="dcterms:W3CDTF">2019-08-12T13:57:00Z</dcterms:modified>
</cp:coreProperties>
</file>